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1"/>
          <w:bCs w:val="1"/>
          <w:i w:val="0"/>
          <w:iCs w:val="0"/>
          <w:smallCaps w:val="0"/>
          <w:strike w:val="0"/>
          <w:color w:val="32323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1"/>
          <w:bCs w:val="1"/>
          <w:i w:val="0"/>
          <w:iCs w:val="0"/>
          <w:smallCaps w:val="0"/>
          <w:strike w:val="0"/>
          <w:color w:val="32323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0"/>
          <w:bCs w:val="0"/>
          <w:i w:val="0"/>
          <w:iCs w:val="0"/>
          <w:smallCaps w:val="0"/>
          <w:strike w:val="0"/>
          <w:color w:val="323232"/>
          <w:sz w:val="24"/>
          <w:szCs w:val="24"/>
          <w:u w:val="none"/>
          <w:shd w:fill="auto" w:val="clear"/>
          <w:vertAlign w:val="baseline"/>
        </w:rPr>
      </w:pPr>
      <w:bookmarkStart w:colFirst="0" w:colLast="0" w:name="_heading=h.x4n65zkooi8s" w:id="0"/>
      <w:bookmarkEnd w:id="0"/>
      <w:r w:rsidDel="00000000" w:rsidR="00000000" w:rsidRPr="00000000">
        <w:rPr>
          <w:rFonts w:ascii="Times New Roman" w:cs="Times New Roman" w:eastAsia="Times New Roman" w:hAnsi="Times New Roman"/>
          <w:b w:val="1"/>
          <w:bCs w:val="1"/>
          <w:i w:val="0"/>
          <w:iCs w:val="0"/>
          <w:smallCaps w:val="0"/>
          <w:strike w:val="0"/>
          <w:color w:val="323232"/>
          <w:sz w:val="24"/>
          <w:szCs w:val="24"/>
          <w:u w:val="none"/>
          <w:shd w:fill="auto" w:val="clear"/>
          <w:vertAlign w:val="baseline"/>
          <w:rtl w:val="0"/>
        </w:rPr>
        <w:t xml:space="preserve">a. Notice of Rights Concerning Substance Use Disorder Records. </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If Oak Meadow Dental Center (OMDC), as the covered entity “creates or maintains” substance use disorder (SUD) records covered by 42 CFR part 2 (Part 2), OMDC must ensure that “an individual who is the subject of records protected under 42 CFR part 2 receives adequate notice of the uses and disclosures of such records, and of the individual's rights and the covered entity's legal duties with respect to such records.”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0"/>
          <w:bCs w:val="0"/>
          <w:i w:val="0"/>
          <w:iCs w:val="0"/>
          <w:smallCaps w:val="0"/>
          <w:strike w:val="0"/>
          <w:color w:val="323232"/>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23232"/>
          <w:sz w:val="24"/>
          <w:szCs w:val="24"/>
          <w:u w:val="none"/>
          <w:shd w:fill="auto" w:val="clear"/>
          <w:vertAlign w:val="baseline"/>
          <w:rtl w:val="0"/>
        </w:rPr>
        <w:t xml:space="preserve">b. Limits on Use of SUD Records. </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SUD treatment records received from programs subject to 42 CFR part 2, or testimony relaying the content of such records, shall not be used or disclosed in civil, criminal, administrative, or legislative proceedings against the individual unless based on written consent, or a court order after notice and an opportunity to be heard is provided to the individual or the holder of the record, as provided in 42 CFR part 2. A court order authorizing use or disclosure must be accompanied by a subpoena or other legal requirement compelling disclosure before the requested record is used or disclosed.</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0"/>
          <w:bCs w:val="0"/>
          <w:i w:val="0"/>
          <w:iCs w:val="0"/>
          <w:smallCaps w:val="0"/>
          <w:strike w:val="0"/>
          <w:color w:val="323232"/>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23232"/>
          <w:sz w:val="24"/>
          <w:szCs w:val="24"/>
          <w:u w:val="none"/>
          <w:shd w:fill="auto" w:val="clear"/>
          <w:vertAlign w:val="baseline"/>
          <w:rtl w:val="0"/>
        </w:rPr>
        <w:t xml:space="preserve">c. Impact of Other Laws. </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This new update continues to require that if the permissible uses or disclosures of information described in the NPP are limited by other laws that are more restrictive than HIPAA (</w:t>
      </w:r>
      <w:r w:rsidDel="00000000" w:rsidR="00000000" w:rsidRPr="00000000">
        <w:rPr>
          <w:rFonts w:ascii="Times New Roman" w:cs="Times New Roman" w:eastAsia="Times New Roman" w:hAnsi="Times New Roman"/>
          <w:b w:val="0"/>
          <w:bCs w:val="0"/>
          <w:i w:val="1"/>
          <w:iCs w:val="1"/>
          <w:smallCaps w:val="0"/>
          <w:strike w:val="0"/>
          <w:color w:val="323232"/>
          <w:sz w:val="24"/>
          <w:szCs w:val="24"/>
          <w:u w:val="none"/>
          <w:shd w:fill="auto" w:val="clear"/>
          <w:vertAlign w:val="baseline"/>
          <w:rtl w:val="0"/>
        </w:rPr>
        <w:t xml:space="preserve">e.g</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 SUD records protected by Part 2), then the more stringent law will be followed. If another law permits or (more importantly) requires disclosures of the information, then the individual will be given notice of the uses and disclosures that are permitted or required by the HIPAA Privacy Rule subpart and other applicable law, such as 42 CFR part 2. Unlike other protected health information, use or </w:t>
      </w:r>
      <w:r w:rsidDel="00000000" w:rsidR="00000000" w:rsidRPr="00000000">
        <w:rPr>
          <w:rFonts w:ascii="Times New Roman" w:cs="Times New Roman" w:eastAsia="Times New Roman" w:hAnsi="Times New Roman"/>
          <w:color w:val="323232"/>
          <w:sz w:val="24"/>
          <w:szCs w:val="24"/>
          <w:rtl w:val="0"/>
        </w:rPr>
        <w:t xml:space="preserve">disclosure of SUD</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 records for treatment, payment and/or healthcare operations generally require the patient’s written consent.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0"/>
          <w:bCs w:val="0"/>
          <w:i w:val="0"/>
          <w:iCs w:val="0"/>
          <w:smallCaps w:val="0"/>
          <w:strike w:val="0"/>
          <w:color w:val="323232"/>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23232"/>
          <w:sz w:val="24"/>
          <w:szCs w:val="24"/>
          <w:u w:val="none"/>
          <w:shd w:fill="auto" w:val="clear"/>
          <w:vertAlign w:val="baseline"/>
          <w:rtl w:val="0"/>
        </w:rPr>
        <w:t xml:space="preserve">d. Redisclosure.</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 The individual will be given notice of the potential for information disclosed pursuant to the Privacy Rule when subject to redisclosure by the recipient and no longer protected by the Privacy Rule.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0"/>
          <w:bCs w:val="0"/>
          <w:i w:val="0"/>
          <w:iCs w:val="0"/>
          <w:smallCaps w:val="0"/>
          <w:strike w:val="0"/>
          <w:color w:val="323232"/>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23232"/>
          <w:sz w:val="24"/>
          <w:szCs w:val="24"/>
          <w:u w:val="none"/>
          <w:shd w:fill="auto" w:val="clear"/>
          <w:vertAlign w:val="baseline"/>
          <w:rtl w:val="0"/>
        </w:rPr>
        <w:t xml:space="preserve">e. Fundraising. </w:t>
      </w:r>
      <w:r w:rsidDel="00000000" w:rsidR="00000000" w:rsidRPr="00000000">
        <w:rPr>
          <w:rFonts w:ascii="Times New Roman" w:cs="Times New Roman" w:eastAsia="Times New Roman" w:hAnsi="Times New Roman"/>
          <w:color w:val="323232"/>
          <w:sz w:val="24"/>
          <w:szCs w:val="24"/>
          <w:rtl w:val="0"/>
        </w:rPr>
        <w:t xml:space="preserve">T</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he individual will first be provided with a clear and conspicuous opportunity to elect not to receive any fundraising communications from OMDC.</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bf9f3" w:val="clear"/>
        <w:spacing w:after="180" w:before="0" w:line="240" w:lineRule="auto"/>
        <w:ind w:left="0" w:right="0" w:firstLine="0"/>
        <w:jc w:val="left"/>
        <w:rPr>
          <w:rFonts w:ascii="Times New Roman" w:cs="Times New Roman" w:eastAsia="Times New Roman" w:hAnsi="Times New Roman"/>
          <w:b w:val="0"/>
          <w:bCs w:val="0"/>
          <w:i w:val="0"/>
          <w:iCs w:val="0"/>
          <w:smallCaps w:val="0"/>
          <w:strike w:val="0"/>
          <w:color w:val="323232"/>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23232"/>
          <w:sz w:val="24"/>
          <w:szCs w:val="24"/>
          <w:u w:val="none"/>
          <w:shd w:fill="auto" w:val="clear"/>
          <w:vertAlign w:val="baseline"/>
          <w:rtl w:val="0"/>
        </w:rPr>
        <w:t xml:space="preserve">f. Compliance with Discrimination Laws. </w:t>
      </w:r>
      <w:r w:rsidDel="00000000" w:rsidR="00000000" w:rsidRPr="00000000">
        <w:rPr>
          <w:rFonts w:ascii="Times New Roman" w:cs="Times New Roman" w:eastAsia="Times New Roman" w:hAnsi="Times New Roman"/>
          <w:b w:val="0"/>
          <w:bCs w:val="0"/>
          <w:i w:val="0"/>
          <w:iCs w:val="0"/>
          <w:smallCaps w:val="0"/>
          <w:strike w:val="0"/>
          <w:color w:val="323232"/>
          <w:sz w:val="24"/>
          <w:szCs w:val="24"/>
          <w:u w:val="none"/>
          <w:shd w:fill="auto" w:val="clear"/>
          <w:vertAlign w:val="baseline"/>
          <w:rtl w:val="0"/>
        </w:rPr>
        <w:t xml:space="preserve">OMDC will provide this notice in other languages if necessary. </w:t>
      </w:r>
    </w:p>
    <w:p w:rsidR="00000000" w:rsidDel="00000000" w:rsidP="00000000" w:rsidRDefault="00000000" w:rsidRPr="00000000" w14:paraId="00000009">
      <w:pPr>
        <w:rPr/>
      </w:pPr>
      <w:r w:rsidDel="00000000" w:rsidR="00000000" w:rsidRPr="00000000">
        <w:rPr>
          <w:rtl w:val="0"/>
        </w:rPr>
        <w:tab/>
        <w:tab/>
        <w:tab/>
        <w:tab/>
        <w:tab/>
        <w:tab/>
      </w:r>
    </w:p>
    <w:p w:rsidR="00000000" w:rsidDel="00000000" w:rsidP="00000000" w:rsidRDefault="00000000" w:rsidRPr="00000000" w14:paraId="0000000A">
      <w:pPr>
        <w:rPr/>
      </w:pPr>
      <w:r w:rsidDel="00000000" w:rsidR="00000000" w:rsidRPr="00000000">
        <w:rPr>
          <w:rtl w:val="0"/>
        </w:rPr>
        <w:tab/>
        <w:tab/>
        <w:tab/>
        <w:tab/>
        <w:t xml:space="preserve">Patient Name: ______________________________________</w:t>
      </w:r>
    </w:p>
    <w:p w:rsidR="00000000" w:rsidDel="00000000" w:rsidP="00000000" w:rsidRDefault="00000000" w:rsidRPr="00000000" w14:paraId="0000000B">
      <w:pPr>
        <w:ind w:left="2160" w:firstLine="720"/>
        <w:rPr/>
      </w:pPr>
      <w:r w:rsidDel="00000000" w:rsidR="00000000" w:rsidRPr="00000000">
        <w:rPr>
          <w:rtl w:val="0"/>
        </w:rPr>
        <w:t xml:space="preserve">Signed (Patient/Legal Guardian): ________________________</w:t>
        <w:tab/>
      </w:r>
    </w:p>
    <w:p w:rsidR="00000000" w:rsidDel="00000000" w:rsidP="00000000" w:rsidRDefault="00000000" w:rsidRPr="00000000" w14:paraId="0000000C">
      <w:pPr>
        <w:ind w:left="2160" w:firstLine="720"/>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ab/>
        <w:tab/>
        <w:tab/>
        <w:tab/>
        <w:t xml:space="preserve">Date: _________________</w:t>
        <w:tab/>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Addendum to HIPAA, updated February 16,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Kq7mpxZeaVyJnZ+gRylMitfoA==">CgMxLjAyDmgueDRuNjV6a29vaThzOAByITFsOUNISm5kTkdEYTFzRVdNanRkTERkTjVvek12R1NTTg==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